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8B5011">
        <w:rPr>
          <w:rFonts w:ascii="Verdana" w:hAnsi="Verdana"/>
          <w:b/>
          <w:szCs w:val="22"/>
        </w:rPr>
        <w:t>TRANSMITTAL LETTER</w:t>
      </w:r>
      <w:r w:rsidR="002902DC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D46947">
        <w:rPr>
          <w:rFonts w:ascii="Verdana" w:hAnsi="Verdana"/>
          <w:b/>
          <w:szCs w:val="22"/>
        </w:rPr>
        <w:t>11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B9149B">
        <w:rPr>
          <w:rFonts w:ascii="Verdana" w:hAnsi="Verdana"/>
          <w:szCs w:val="22"/>
        </w:rPr>
        <w:t>August 6</w:t>
      </w:r>
      <w:r w:rsidR="00966682">
        <w:rPr>
          <w:rFonts w:ascii="Verdana" w:hAnsi="Verdana"/>
          <w:szCs w:val="22"/>
        </w:rPr>
        <w:t>, 2014</w:t>
      </w:r>
    </w:p>
    <w:p w:rsidR="001B1B01" w:rsidRPr="00556A25" w:rsidRDefault="001B1B01" w:rsidP="00E31F97">
      <w:pPr>
        <w:rPr>
          <w:rFonts w:ascii="Verdana" w:hAnsi="Verdana"/>
          <w:b/>
          <w:szCs w:val="22"/>
        </w:rPr>
      </w:pPr>
    </w:p>
    <w:p w:rsidR="00966682" w:rsidRDefault="00E31F97" w:rsidP="00966682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1B1B01">
        <w:rPr>
          <w:rFonts w:ascii="Verdana" w:hAnsi="Verdana"/>
          <w:b/>
          <w:szCs w:val="22"/>
        </w:rPr>
        <w:tab/>
      </w:r>
      <w:r w:rsidR="00966682">
        <w:rPr>
          <w:rFonts w:ascii="Verdana" w:hAnsi="Verdana"/>
          <w:szCs w:val="22"/>
        </w:rPr>
        <w:t>Emergency Regulatory Change</w:t>
      </w:r>
      <w:r w:rsidR="00FB3D7C">
        <w:rPr>
          <w:rFonts w:ascii="Verdana" w:hAnsi="Verdana"/>
          <w:szCs w:val="22"/>
        </w:rPr>
        <w:t>s</w:t>
      </w:r>
      <w:r w:rsidR="00966682">
        <w:rPr>
          <w:rFonts w:ascii="Verdana" w:hAnsi="Verdana"/>
          <w:szCs w:val="22"/>
        </w:rPr>
        <w:t xml:space="preserve"> </w:t>
      </w:r>
    </w:p>
    <w:p w:rsidR="00FB3D7C" w:rsidRDefault="00FB3D7C" w:rsidP="00966682">
      <w:pPr>
        <w:ind w:left="1440" w:hanging="1440"/>
        <w:rPr>
          <w:rFonts w:ascii="Verdana" w:hAnsi="Verdana"/>
          <w:sz w:val="21"/>
          <w:szCs w:val="21"/>
        </w:rPr>
      </w:pPr>
    </w:p>
    <w:p w:rsidR="00FB3D7C" w:rsidRDefault="00FB3D7C" w:rsidP="00FB3D7C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Two emergency regulatory changes have be</w:t>
      </w:r>
      <w:r w:rsidR="00431414">
        <w:rPr>
          <w:rFonts w:ascii="Verdana" w:hAnsi="Verdana"/>
          <w:sz w:val="21"/>
          <w:szCs w:val="21"/>
        </w:rPr>
        <w:t>en filed and are effective immediately</w:t>
      </w:r>
      <w:r>
        <w:rPr>
          <w:rFonts w:ascii="Verdana" w:hAnsi="Verdana"/>
          <w:sz w:val="21"/>
          <w:szCs w:val="21"/>
        </w:rPr>
        <w:t>.  Please review this transmittal regarding</w:t>
      </w:r>
      <w:r w:rsidR="00431414">
        <w:rPr>
          <w:rFonts w:ascii="Verdana" w:hAnsi="Verdana"/>
          <w:sz w:val="21"/>
          <w:szCs w:val="21"/>
        </w:rPr>
        <w:t xml:space="preserve"> changes to the Child Care Assistance P</w:t>
      </w:r>
      <w:r w:rsidR="00D6062E">
        <w:rPr>
          <w:rFonts w:ascii="Verdana" w:hAnsi="Verdana"/>
          <w:sz w:val="21"/>
          <w:szCs w:val="21"/>
        </w:rPr>
        <w:t>rogram and PCC</w:t>
      </w:r>
      <w:r w:rsidR="00F737C4">
        <w:rPr>
          <w:rFonts w:ascii="Verdana" w:hAnsi="Verdana"/>
          <w:sz w:val="21"/>
          <w:szCs w:val="21"/>
        </w:rPr>
        <w:t>/PCP</w:t>
      </w:r>
      <w:r w:rsidR="00D6062E">
        <w:rPr>
          <w:rFonts w:ascii="Verdana" w:hAnsi="Verdana"/>
          <w:sz w:val="21"/>
          <w:szCs w:val="21"/>
        </w:rPr>
        <w:t xml:space="preserve"> per diem rates:  </w:t>
      </w:r>
    </w:p>
    <w:p w:rsidR="00D6062E" w:rsidRDefault="00D6062E" w:rsidP="00FB3D7C">
      <w:pPr>
        <w:rPr>
          <w:rFonts w:ascii="Verdana" w:hAnsi="Verdana"/>
          <w:sz w:val="21"/>
          <w:szCs w:val="21"/>
        </w:rPr>
      </w:pPr>
    </w:p>
    <w:p w:rsidR="00F737C4" w:rsidRDefault="00D6062E" w:rsidP="00F737C4">
      <w:pPr>
        <w:pStyle w:val="ListParagraph"/>
        <w:numPr>
          <w:ilvl w:val="0"/>
          <w:numId w:val="27"/>
        </w:numPr>
        <w:rPr>
          <w:rFonts w:ascii="Verdana" w:hAnsi="Verdana"/>
          <w:sz w:val="21"/>
          <w:szCs w:val="21"/>
        </w:rPr>
      </w:pPr>
      <w:r w:rsidRPr="00660A74">
        <w:rPr>
          <w:rFonts w:ascii="Verdana" w:hAnsi="Verdana"/>
          <w:sz w:val="21"/>
          <w:szCs w:val="21"/>
        </w:rPr>
        <w:t>922 KAR 2:160</w:t>
      </w:r>
      <w:r w:rsidR="00F737C4" w:rsidRPr="00660A74">
        <w:rPr>
          <w:rFonts w:ascii="Verdana" w:hAnsi="Verdana"/>
          <w:sz w:val="21"/>
          <w:szCs w:val="21"/>
        </w:rPr>
        <w:t xml:space="preserve"> Child care assistance p</w:t>
      </w:r>
      <w:r w:rsidR="00966682" w:rsidRPr="00660A74">
        <w:rPr>
          <w:rFonts w:ascii="Verdana" w:hAnsi="Verdana"/>
          <w:sz w:val="21"/>
          <w:szCs w:val="21"/>
        </w:rPr>
        <w:t>rogram</w:t>
      </w:r>
      <w:r w:rsidR="00966682" w:rsidRPr="00D6062E">
        <w:rPr>
          <w:rFonts w:ascii="Verdana" w:hAnsi="Verdana"/>
          <w:sz w:val="21"/>
          <w:szCs w:val="21"/>
        </w:rPr>
        <w:t xml:space="preserve">, reinstates the </w:t>
      </w:r>
      <w:r>
        <w:rPr>
          <w:rFonts w:ascii="Verdana" w:hAnsi="Verdana"/>
          <w:sz w:val="21"/>
          <w:szCs w:val="21"/>
        </w:rPr>
        <w:t>Child Care Assistance P</w:t>
      </w:r>
      <w:r w:rsidR="00966682" w:rsidRPr="00D6062E">
        <w:rPr>
          <w:rFonts w:ascii="Verdana" w:hAnsi="Verdana"/>
          <w:sz w:val="21"/>
          <w:szCs w:val="21"/>
        </w:rPr>
        <w:t>rogram</w:t>
      </w:r>
      <w:r>
        <w:rPr>
          <w:rFonts w:ascii="Verdana" w:hAnsi="Verdana"/>
          <w:sz w:val="21"/>
          <w:szCs w:val="21"/>
        </w:rPr>
        <w:t xml:space="preserve"> (CCAP)</w:t>
      </w:r>
      <w:r w:rsidR="00966682" w:rsidRPr="00D6062E">
        <w:rPr>
          <w:rFonts w:ascii="Verdana" w:hAnsi="Verdana"/>
          <w:sz w:val="21"/>
          <w:szCs w:val="21"/>
        </w:rPr>
        <w:t xml:space="preserve"> </w:t>
      </w:r>
      <w:r w:rsidR="00431414">
        <w:rPr>
          <w:rFonts w:ascii="Verdana" w:hAnsi="Verdana"/>
          <w:sz w:val="21"/>
          <w:szCs w:val="21"/>
        </w:rPr>
        <w:t>with revised</w:t>
      </w:r>
      <w:r w:rsidR="00966682" w:rsidRPr="00D6062E">
        <w:rPr>
          <w:rFonts w:ascii="Verdana" w:hAnsi="Verdana"/>
          <w:sz w:val="21"/>
          <w:szCs w:val="21"/>
        </w:rPr>
        <w:t xml:space="preserve"> income requirement for families to be eligible for </w:t>
      </w:r>
      <w:r>
        <w:rPr>
          <w:rFonts w:ascii="Verdana" w:hAnsi="Verdana"/>
          <w:sz w:val="21"/>
          <w:szCs w:val="21"/>
        </w:rPr>
        <w:t>services</w:t>
      </w:r>
      <w:r w:rsidR="00966682" w:rsidRPr="00D6062E">
        <w:rPr>
          <w:rFonts w:ascii="Verdana" w:hAnsi="Verdana"/>
          <w:sz w:val="21"/>
          <w:szCs w:val="21"/>
        </w:rPr>
        <w:t xml:space="preserve">.  As a result, </w:t>
      </w:r>
      <w:hyperlink r:id="rId9" w:history="1">
        <w:r w:rsidR="00966682" w:rsidRPr="00D6062E">
          <w:rPr>
            <w:rStyle w:val="Hyperlink"/>
            <w:rFonts w:ascii="Verdana" w:hAnsi="Verdana"/>
            <w:sz w:val="21"/>
            <w:szCs w:val="21"/>
          </w:rPr>
          <w:t>SOP 30.19 Child Care Assistance-Introduction</w:t>
        </w:r>
      </w:hyperlink>
      <w:r w:rsidR="00966682" w:rsidRPr="00D6062E">
        <w:rPr>
          <w:rFonts w:ascii="Verdana" w:hAnsi="Verdana"/>
          <w:sz w:val="21"/>
          <w:szCs w:val="21"/>
        </w:rPr>
        <w:t xml:space="preserve"> has been update</w:t>
      </w:r>
      <w:r>
        <w:rPr>
          <w:rFonts w:ascii="Verdana" w:hAnsi="Verdana"/>
          <w:sz w:val="21"/>
          <w:szCs w:val="21"/>
        </w:rPr>
        <w:t xml:space="preserve">d to reflect this information </w:t>
      </w:r>
      <w:r w:rsidR="00966682" w:rsidRPr="00D6062E">
        <w:rPr>
          <w:rFonts w:ascii="Verdana" w:hAnsi="Verdana"/>
          <w:sz w:val="21"/>
          <w:szCs w:val="21"/>
        </w:rPr>
        <w:t xml:space="preserve">and a link to the </w:t>
      </w:r>
      <w:hyperlink r:id="rId10" w:history="1">
        <w:r w:rsidR="00966682" w:rsidRPr="00D6062E">
          <w:rPr>
            <w:rStyle w:val="Hyperlink"/>
            <w:rFonts w:ascii="Verdana" w:hAnsi="Verdana"/>
            <w:sz w:val="21"/>
            <w:szCs w:val="21"/>
          </w:rPr>
          <w:t>Division of Child Care</w:t>
        </w:r>
      </w:hyperlink>
      <w:r w:rsidR="00966682" w:rsidRPr="00D6062E">
        <w:rPr>
          <w:rFonts w:ascii="Verdana" w:hAnsi="Verdana"/>
          <w:sz w:val="21"/>
          <w:szCs w:val="21"/>
        </w:rPr>
        <w:t xml:space="preserve"> website has been added.  Any questions regarding income eligibility may be found on this website.  </w:t>
      </w:r>
      <w:r w:rsidR="00F737C4">
        <w:rPr>
          <w:rFonts w:ascii="Verdana" w:hAnsi="Verdana"/>
          <w:sz w:val="21"/>
          <w:szCs w:val="21"/>
        </w:rPr>
        <w:br/>
      </w:r>
    </w:p>
    <w:p w:rsidR="00F737C4" w:rsidRPr="00431414" w:rsidRDefault="00D6062E" w:rsidP="00431414">
      <w:pPr>
        <w:pStyle w:val="ListParagraph"/>
        <w:numPr>
          <w:ilvl w:val="0"/>
          <w:numId w:val="27"/>
        </w:numPr>
        <w:rPr>
          <w:rFonts w:ascii="Verdana" w:hAnsi="Verdana"/>
          <w:sz w:val="21"/>
          <w:szCs w:val="21"/>
        </w:rPr>
      </w:pPr>
      <w:r w:rsidRPr="00660A74">
        <w:rPr>
          <w:rFonts w:ascii="Verdana" w:hAnsi="Verdana"/>
          <w:sz w:val="21"/>
          <w:szCs w:val="21"/>
        </w:rPr>
        <w:t>922</w:t>
      </w:r>
      <w:r w:rsidR="00F737C4" w:rsidRPr="00660A74">
        <w:rPr>
          <w:rFonts w:ascii="Verdana" w:hAnsi="Verdana"/>
          <w:sz w:val="21"/>
          <w:szCs w:val="21"/>
        </w:rPr>
        <w:t xml:space="preserve"> KAR 1:360 Private </w:t>
      </w:r>
      <w:proofErr w:type="gramStart"/>
      <w:r w:rsidR="00F737C4" w:rsidRPr="00660A74">
        <w:rPr>
          <w:rFonts w:ascii="Verdana" w:hAnsi="Verdana"/>
          <w:sz w:val="21"/>
          <w:szCs w:val="21"/>
        </w:rPr>
        <w:t>child</w:t>
      </w:r>
      <w:proofErr w:type="gramEnd"/>
      <w:r w:rsidR="00F737C4" w:rsidRPr="00660A74">
        <w:rPr>
          <w:rFonts w:ascii="Verdana" w:hAnsi="Verdana"/>
          <w:sz w:val="21"/>
          <w:szCs w:val="21"/>
        </w:rPr>
        <w:t xml:space="preserve"> care placement, levels of care, and payment</w:t>
      </w:r>
      <w:r w:rsidR="00F737C4" w:rsidRPr="00F737C4">
        <w:rPr>
          <w:rFonts w:ascii="Verdana" w:hAnsi="Verdana"/>
          <w:sz w:val="21"/>
          <w:szCs w:val="21"/>
        </w:rPr>
        <w:t>, has been amended to reflect changes to the per diem rates for PCC/PCP providers</w:t>
      </w:r>
      <w:r w:rsidR="003941C6">
        <w:rPr>
          <w:rFonts w:ascii="Verdana" w:hAnsi="Verdana"/>
          <w:sz w:val="21"/>
          <w:szCs w:val="21"/>
        </w:rPr>
        <w:t>.</w:t>
      </w:r>
      <w:r w:rsidR="00F737C4" w:rsidRPr="00F737C4">
        <w:rPr>
          <w:rFonts w:ascii="Verdana" w:hAnsi="Verdana"/>
          <w:sz w:val="21"/>
          <w:szCs w:val="21"/>
        </w:rPr>
        <w:t xml:space="preserve"> </w:t>
      </w:r>
      <w:r w:rsidR="003941C6">
        <w:rPr>
          <w:rFonts w:ascii="Verdana" w:hAnsi="Verdana"/>
          <w:sz w:val="21"/>
          <w:szCs w:val="21"/>
        </w:rPr>
        <w:t xml:space="preserve"> </w:t>
      </w:r>
      <w:r w:rsidR="00F737C4" w:rsidRPr="00F737C4">
        <w:rPr>
          <w:rFonts w:ascii="Verdana" w:hAnsi="Verdana"/>
          <w:sz w:val="21"/>
          <w:szCs w:val="21"/>
        </w:rPr>
        <w:t xml:space="preserve">The per diem rates are revised as follows:     </w:t>
      </w:r>
    </w:p>
    <w:tbl>
      <w:tblPr>
        <w:tblW w:w="4590" w:type="dxa"/>
        <w:jc w:val="center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060"/>
        <w:gridCol w:w="1446"/>
      </w:tblGrid>
      <w:tr w:rsidR="003941C6" w:rsidRPr="00DD1E18" w:rsidTr="00431414">
        <w:trPr>
          <w:trHeight w:val="240"/>
          <w:jc w:val="center"/>
        </w:trPr>
        <w:tc>
          <w:tcPr>
            <w:tcW w:w="4590" w:type="dxa"/>
            <w:gridSpan w:val="3"/>
            <w:shd w:val="clear" w:color="auto" w:fill="auto"/>
            <w:noWrap/>
            <w:vAlign w:val="bottom"/>
          </w:tcPr>
          <w:p w:rsidR="003941C6" w:rsidRDefault="003941C6" w:rsidP="0097017A">
            <w:pPr>
              <w:jc w:val="center"/>
              <w:rPr>
                <w:rFonts w:cs="Arial"/>
                <w:szCs w:val="22"/>
              </w:rPr>
            </w:pPr>
            <w:r w:rsidRPr="00DD1E18">
              <w:rPr>
                <w:rFonts w:cs="Arial"/>
                <w:szCs w:val="22"/>
              </w:rPr>
              <w:t>Private Child-Caring Facilities (Residential):</w:t>
            </w:r>
          </w:p>
          <w:p w:rsidR="00431414" w:rsidRPr="00DD1E18" w:rsidRDefault="00431414" w:rsidP="0097017A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84" w:type="dxa"/>
            <w:shd w:val="clear" w:color="auto" w:fill="auto"/>
            <w:noWrap/>
            <w:vAlign w:val="bottom"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Old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New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Level 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$151.03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$175.87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Level 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$210.64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$218.99</w:t>
            </w:r>
          </w:p>
        </w:tc>
      </w:tr>
    </w:tbl>
    <w:p w:rsidR="00F737C4" w:rsidRDefault="00F737C4" w:rsidP="00431414">
      <w:pPr>
        <w:rPr>
          <w:rFonts w:cs="Arial"/>
          <w:szCs w:val="22"/>
        </w:rPr>
      </w:pPr>
    </w:p>
    <w:p w:rsidR="00431414" w:rsidRPr="00DD1E18" w:rsidRDefault="00431414" w:rsidP="00431414">
      <w:pPr>
        <w:rPr>
          <w:rFonts w:cs="Arial"/>
          <w:szCs w:val="22"/>
        </w:rPr>
      </w:pPr>
    </w:p>
    <w:tbl>
      <w:tblPr>
        <w:tblW w:w="4590" w:type="dxa"/>
        <w:jc w:val="center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060"/>
        <w:gridCol w:w="1514"/>
      </w:tblGrid>
      <w:tr w:rsidR="00431414" w:rsidRPr="00DD1E18" w:rsidTr="00431414">
        <w:trPr>
          <w:trHeight w:val="240"/>
          <w:jc w:val="center"/>
        </w:trPr>
        <w:tc>
          <w:tcPr>
            <w:tcW w:w="4590" w:type="dxa"/>
            <w:gridSpan w:val="3"/>
            <w:shd w:val="clear" w:color="auto" w:fill="auto"/>
            <w:noWrap/>
            <w:vAlign w:val="bottom"/>
          </w:tcPr>
          <w:p w:rsidR="00431414" w:rsidRPr="00DD1E18" w:rsidRDefault="0043141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szCs w:val="22"/>
              </w:rPr>
              <w:lastRenderedPageBreak/>
              <w:t>Private Child-Placing Agencies (Therapeutic Foster Care):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Old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New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Levels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Rates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Rates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Basic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$43.00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$44.82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Levels 1 &amp; 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$73.00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$76.10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Level 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$79.78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$83.16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Level 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$97.11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$101.23</w:t>
            </w:r>
          </w:p>
        </w:tc>
      </w:tr>
      <w:tr w:rsidR="00F737C4" w:rsidRPr="00DD1E18" w:rsidTr="00431414">
        <w:trPr>
          <w:trHeight w:val="240"/>
          <w:jc w:val="center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Level 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color w:val="000000"/>
                <w:szCs w:val="22"/>
              </w:rPr>
            </w:pPr>
            <w:r w:rsidRPr="00DD1E18">
              <w:rPr>
                <w:rFonts w:cs="Arial"/>
                <w:color w:val="000000"/>
                <w:szCs w:val="22"/>
              </w:rPr>
              <w:t>$134.26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737C4" w:rsidRPr="00DD1E18" w:rsidRDefault="00F737C4" w:rsidP="00431414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DD1E18">
              <w:rPr>
                <w:rFonts w:cs="Arial"/>
                <w:bCs/>
                <w:color w:val="000000"/>
                <w:szCs w:val="22"/>
              </w:rPr>
              <w:t>$139.96</w:t>
            </w:r>
          </w:p>
        </w:tc>
      </w:tr>
    </w:tbl>
    <w:p w:rsidR="00F737C4" w:rsidRPr="00F737C4" w:rsidRDefault="00F737C4" w:rsidP="00F737C4">
      <w:pPr>
        <w:rPr>
          <w:rFonts w:ascii="Verdana" w:hAnsi="Verdana"/>
          <w:sz w:val="21"/>
          <w:szCs w:val="21"/>
        </w:rPr>
      </w:pPr>
    </w:p>
    <w:p w:rsidR="00D46947" w:rsidRPr="00FE24A1" w:rsidRDefault="00F737C4" w:rsidP="00FE24A1">
      <w:pPr>
        <w:ind w:left="720"/>
        <w:rPr>
          <w:rFonts w:ascii="Verdana" w:hAnsi="Verdana"/>
          <w:color w:val="000000"/>
        </w:rPr>
      </w:pPr>
      <w:r>
        <w:rPr>
          <w:rFonts w:ascii="Verdana" w:hAnsi="Verdana"/>
          <w:sz w:val="21"/>
          <w:szCs w:val="21"/>
        </w:rPr>
        <w:t xml:space="preserve">Updates have also been made to the </w:t>
      </w:r>
      <w:hyperlink r:id="rId11" w:history="1">
        <w:r w:rsidR="00FE24A1">
          <w:rPr>
            <w:rStyle w:val="Hyperlink"/>
            <w:rFonts w:ascii="Verdana" w:hAnsi="Verdana"/>
          </w:rPr>
          <w:t>DPP-114 Private Child Caring and Child Placing Level of Care Schedule</w:t>
        </w:r>
      </w:hyperlink>
      <w:r>
        <w:rPr>
          <w:rFonts w:ascii="Verdana" w:hAnsi="Verdana"/>
          <w:sz w:val="21"/>
          <w:szCs w:val="21"/>
        </w:rPr>
        <w:t>. The form updates consist of changes to the payment schedule, based on the new rates, and the removal</w:t>
      </w:r>
      <w:r w:rsidR="00431414">
        <w:rPr>
          <w:rFonts w:ascii="Verdana" w:hAnsi="Verdana"/>
          <w:sz w:val="21"/>
          <w:szCs w:val="21"/>
        </w:rPr>
        <w:t xml:space="preserve"> of</w:t>
      </w:r>
      <w:r>
        <w:rPr>
          <w:rFonts w:ascii="Verdana" w:hAnsi="Verdana"/>
          <w:sz w:val="21"/>
          <w:szCs w:val="21"/>
        </w:rPr>
        <w:t xml:space="preserve"> the medical consent language from the form.</w:t>
      </w:r>
      <w:r w:rsidR="00D46947">
        <w:rPr>
          <w:rFonts w:ascii="Verdana" w:hAnsi="Verdana"/>
          <w:sz w:val="21"/>
          <w:szCs w:val="21"/>
        </w:rPr>
        <w:t xml:space="preserve">  </w:t>
      </w:r>
    </w:p>
    <w:p w:rsidR="00D46947" w:rsidRDefault="00D46947" w:rsidP="00431414">
      <w:pPr>
        <w:ind w:left="720"/>
        <w:rPr>
          <w:rFonts w:ascii="Verdana" w:hAnsi="Verdana"/>
          <w:sz w:val="21"/>
          <w:szCs w:val="21"/>
        </w:rPr>
      </w:pPr>
    </w:p>
    <w:p w:rsidR="00431414" w:rsidRDefault="00D46947" w:rsidP="00431414">
      <w:pPr>
        <w:ind w:left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As a result of the medical consent content being removed from the DPP-114, the </w:t>
      </w:r>
      <w:hyperlink r:id="rId12" w:history="1">
        <w:r w:rsidR="00FE24A1">
          <w:rPr>
            <w:rStyle w:val="Hyperlink"/>
            <w:rFonts w:ascii="Verdana" w:hAnsi="Verdana"/>
          </w:rPr>
          <w:t>DPP-106A Authorization for Routine Health Care and Authorization for Non-Routine Health Care</w:t>
        </w:r>
      </w:hyperlink>
      <w:r w:rsidR="00FE24A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(new name), has been revised to include this information.  All children placed in out of home care will now have this document completed, regardless of where they are placed.  PCC/PCP providers have been notified of this practice change and will begin util</w:t>
      </w:r>
      <w:r w:rsidR="00B9149B">
        <w:rPr>
          <w:rFonts w:ascii="Verdana" w:hAnsi="Verdana"/>
          <w:sz w:val="21"/>
          <w:szCs w:val="21"/>
        </w:rPr>
        <w:t>izing this form immediately.</w:t>
      </w:r>
      <w:r w:rsidR="00FE24A1">
        <w:rPr>
          <w:rFonts w:ascii="Verdana" w:hAnsi="Verdana"/>
          <w:sz w:val="21"/>
          <w:szCs w:val="21"/>
        </w:rPr>
        <w:t xml:space="preserve">  The 106A must be given to the provider at the time of placement.</w:t>
      </w:r>
      <w:r w:rsidR="00B9149B">
        <w:rPr>
          <w:rFonts w:ascii="Verdana" w:hAnsi="Verdana"/>
          <w:sz w:val="21"/>
          <w:szCs w:val="21"/>
        </w:rPr>
        <w:t xml:space="preserve">  The following SOP sections have also been updated regarding these changes:  </w:t>
      </w:r>
    </w:p>
    <w:p w:rsidR="00B9149B" w:rsidRDefault="00FE24A1" w:rsidP="00B9149B">
      <w:pPr>
        <w:pStyle w:val="ListParagraph"/>
        <w:numPr>
          <w:ilvl w:val="0"/>
          <w:numId w:val="28"/>
        </w:numPr>
        <w:rPr>
          <w:rFonts w:ascii="Verdana" w:hAnsi="Verdana"/>
          <w:sz w:val="21"/>
          <w:szCs w:val="21"/>
        </w:rPr>
      </w:pPr>
      <w:hyperlink r:id="rId13" w:history="1">
        <w:r w:rsidR="00B9149B" w:rsidRPr="00B9149B">
          <w:rPr>
            <w:rStyle w:val="Hyperlink"/>
            <w:rFonts w:ascii="Verdana" w:hAnsi="Verdana"/>
            <w:sz w:val="21"/>
            <w:szCs w:val="21"/>
          </w:rPr>
          <w:t>4.11 Private Child Placing (PCP) or Child Caring (PCC) Agency</w:t>
        </w:r>
      </w:hyperlink>
      <w:r w:rsidR="00B9149B">
        <w:rPr>
          <w:rFonts w:ascii="Verdana" w:hAnsi="Verdana"/>
          <w:sz w:val="21"/>
          <w:szCs w:val="21"/>
        </w:rPr>
        <w:t xml:space="preserve">; and </w:t>
      </w:r>
    </w:p>
    <w:p w:rsidR="00B9149B" w:rsidRPr="00B9149B" w:rsidRDefault="00FE24A1" w:rsidP="00B9149B">
      <w:pPr>
        <w:pStyle w:val="ListParagraph"/>
        <w:numPr>
          <w:ilvl w:val="0"/>
          <w:numId w:val="28"/>
        </w:numPr>
        <w:rPr>
          <w:rFonts w:ascii="Verdana" w:hAnsi="Verdana"/>
          <w:sz w:val="21"/>
          <w:szCs w:val="21"/>
        </w:rPr>
      </w:pPr>
      <w:hyperlink r:id="rId14" w:history="1">
        <w:r w:rsidR="00B9149B" w:rsidRPr="00B9149B">
          <w:rPr>
            <w:rStyle w:val="Hyperlink"/>
            <w:rFonts w:ascii="Verdana" w:hAnsi="Verdana"/>
            <w:sz w:val="21"/>
            <w:szCs w:val="21"/>
          </w:rPr>
          <w:t>4.26.2 Authorization for Medical Services</w:t>
        </w:r>
      </w:hyperlink>
      <w:r w:rsidR="00B9149B">
        <w:rPr>
          <w:rFonts w:ascii="Verdana" w:hAnsi="Verdana"/>
          <w:sz w:val="21"/>
          <w:szCs w:val="21"/>
        </w:rPr>
        <w:t>.</w:t>
      </w:r>
    </w:p>
    <w:p w:rsidR="00431414" w:rsidRDefault="00431414" w:rsidP="00F737C4">
      <w:pPr>
        <w:ind w:left="720"/>
        <w:rPr>
          <w:rFonts w:ascii="Verdana" w:hAnsi="Verdana"/>
          <w:sz w:val="21"/>
          <w:szCs w:val="21"/>
        </w:rPr>
      </w:pPr>
    </w:p>
    <w:p w:rsidR="00966682" w:rsidRDefault="00966682" w:rsidP="0096668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If you have any questions regarding th</w:t>
      </w:r>
      <w:r w:rsidR="00431414">
        <w:rPr>
          <w:rFonts w:ascii="Verdana" w:hAnsi="Verdana"/>
          <w:sz w:val="21"/>
          <w:szCs w:val="21"/>
        </w:rPr>
        <w:t>ese changes</w:t>
      </w:r>
      <w:r>
        <w:rPr>
          <w:rFonts w:ascii="Verdana" w:hAnsi="Verdana"/>
          <w:sz w:val="21"/>
          <w:szCs w:val="21"/>
        </w:rPr>
        <w:t xml:space="preserve">, please contact:  </w:t>
      </w:r>
    </w:p>
    <w:p w:rsidR="00966682" w:rsidRDefault="00966682" w:rsidP="00966682">
      <w:pPr>
        <w:rPr>
          <w:rFonts w:ascii="Verdana" w:hAnsi="Verdana"/>
          <w:sz w:val="21"/>
          <w:szCs w:val="21"/>
        </w:rPr>
      </w:pPr>
    </w:p>
    <w:p w:rsidR="00966682" w:rsidRDefault="00FE24A1" w:rsidP="0096668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Jennie Willson</w:t>
      </w:r>
    </w:p>
    <w:p w:rsidR="00FE24A1" w:rsidRDefault="00FE24A1" w:rsidP="00966682">
      <w:pPr>
        <w:rPr>
          <w:rFonts w:ascii="Verdana" w:hAnsi="Verdana"/>
          <w:sz w:val="21"/>
          <w:szCs w:val="21"/>
        </w:rPr>
      </w:pPr>
      <w:hyperlink r:id="rId15" w:history="1">
        <w:r w:rsidRPr="00484940">
          <w:rPr>
            <w:rStyle w:val="Hyperlink"/>
            <w:rFonts w:ascii="Verdana" w:hAnsi="Verdana"/>
            <w:sz w:val="21"/>
            <w:szCs w:val="21"/>
          </w:rPr>
          <w:t>Jennie.willson@ky.gov</w:t>
        </w:r>
      </w:hyperlink>
    </w:p>
    <w:p w:rsidR="00FE24A1" w:rsidRDefault="00FE24A1" w:rsidP="0096668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(502) 564-2147, ext. 3608</w:t>
      </w:r>
    </w:p>
    <w:p w:rsidR="006A13FF" w:rsidRPr="00E22971" w:rsidRDefault="00966682" w:rsidP="0096668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</w:t>
      </w:r>
      <w:r w:rsidR="006A13FF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</w:p>
    <w:p w:rsidR="00F1450E" w:rsidRPr="007D239D" w:rsidRDefault="00F1450E">
      <w:pPr>
        <w:rPr>
          <w:rFonts w:ascii="Verdana" w:hAnsi="Verdana"/>
          <w:sz w:val="21"/>
          <w:szCs w:val="21"/>
        </w:rPr>
      </w:pPr>
    </w:p>
    <w:sectPr w:rsidR="00F1450E" w:rsidRPr="007D239D" w:rsidSect="00A47A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965" w:bottom="1152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FF" w:rsidRDefault="006A13FF">
      <w:r>
        <w:separator/>
      </w:r>
    </w:p>
  </w:endnote>
  <w:endnote w:type="continuationSeparator" w:id="0">
    <w:p w:rsidR="006A13FF" w:rsidRDefault="006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FF" w:rsidRDefault="006A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FF" w:rsidRDefault="006A13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FF" w:rsidRDefault="006A13FF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BBFB56" wp14:editId="10A5EC7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FF" w:rsidRDefault="006A13FF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AAF3BCE" wp14:editId="6F961384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6A13FF" w:rsidRDefault="006A13FF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AAF3BCE" wp14:editId="6F961384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A13FF" w:rsidRPr="00524DAE" w:rsidRDefault="006A13FF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FF" w:rsidRDefault="006A13FF">
      <w:r>
        <w:separator/>
      </w:r>
    </w:p>
  </w:footnote>
  <w:footnote w:type="continuationSeparator" w:id="0">
    <w:p w:rsidR="006A13FF" w:rsidRDefault="006A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FF" w:rsidRDefault="006A1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FF" w:rsidRDefault="006A1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FF" w:rsidRDefault="006A13FF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0D954" wp14:editId="385E443B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FF" w:rsidRDefault="006A13FF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5BA0E22" wp14:editId="6DBD039E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0B95E" wp14:editId="5913ED1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6A13FF" w:rsidRDefault="006A13FF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25BA0E22" wp14:editId="6DBD039E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740B95E" wp14:editId="5913ED1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A13FF" w:rsidRDefault="006A13FF" w:rsidP="00797852">
    <w:pPr>
      <w:tabs>
        <w:tab w:val="center" w:pos="5264"/>
      </w:tabs>
      <w:spacing w:line="220" w:lineRule="atLeast"/>
      <w:rPr>
        <w:sz w:val="20"/>
      </w:rPr>
    </w:pPr>
  </w:p>
  <w:p w:rsidR="006A13FF" w:rsidRDefault="006A13FF" w:rsidP="00797852">
    <w:pPr>
      <w:spacing w:line="220" w:lineRule="atLeast"/>
      <w:rPr>
        <w:sz w:val="20"/>
      </w:rPr>
    </w:pPr>
  </w:p>
  <w:p w:rsidR="006A13FF" w:rsidRDefault="006A13FF" w:rsidP="00797852">
    <w:pPr>
      <w:spacing w:line="260" w:lineRule="atLeast"/>
      <w:rPr>
        <w:rFonts w:ascii="TradeGothic LH BoldExtended" w:hAnsi="TradeGothic LH BoldExtended"/>
        <w:sz w:val="20"/>
      </w:rPr>
    </w:pPr>
  </w:p>
  <w:p w:rsidR="006A13FF" w:rsidRDefault="006A13FF" w:rsidP="00797852">
    <w:pPr>
      <w:spacing w:line="260" w:lineRule="atLeast"/>
      <w:rPr>
        <w:sz w:val="20"/>
      </w:rPr>
    </w:pPr>
  </w:p>
  <w:p w:rsidR="006A13FF" w:rsidRDefault="006A13FF" w:rsidP="00797852">
    <w:pPr>
      <w:spacing w:line="260" w:lineRule="atLeast"/>
      <w:rPr>
        <w:sz w:val="20"/>
      </w:rPr>
    </w:pPr>
  </w:p>
  <w:p w:rsidR="006A13FF" w:rsidRDefault="006A13FF" w:rsidP="00797852">
    <w:pPr>
      <w:spacing w:line="140" w:lineRule="atLeast"/>
      <w:rPr>
        <w:sz w:val="20"/>
      </w:rPr>
    </w:pPr>
  </w:p>
  <w:p w:rsidR="006A13FF" w:rsidRDefault="006A13FF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6A13FF" w:rsidRDefault="006A13FF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6A13FF" w:rsidRDefault="006A13FF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C67AC" wp14:editId="40D1FBF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FF" w:rsidRDefault="006A13FF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6A13FF" w:rsidRDefault="006A13FF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6A13FF" w:rsidRDefault="006A13FF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6A13FF" w:rsidRDefault="006A13FF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6A13FF" w:rsidRDefault="006A13FF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6A13FF" w:rsidRDefault="006A13FF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6A13FF" w:rsidRDefault="006A13FF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6A13FF" w:rsidRDefault="006A13FF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6A13FF" w:rsidRDefault="006A13FF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6A13FF" w:rsidRDefault="006A13FF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6A13FF" w:rsidRDefault="006A13FF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6A13FF" w:rsidRDefault="006A13FF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6A13FF" w:rsidRDefault="006A13FF" w:rsidP="00797852">
    <w:pPr>
      <w:pStyle w:val="GovSecretaryDeputySecname"/>
    </w:pPr>
  </w:p>
  <w:p w:rsidR="006A13FF" w:rsidRDefault="006A13FF" w:rsidP="00797852">
    <w:pPr>
      <w:pStyle w:val="GovSecretaryDeputySectilte"/>
    </w:pPr>
    <w:r>
      <w:tab/>
    </w:r>
  </w:p>
  <w:p w:rsidR="006A13FF" w:rsidRPr="00797852" w:rsidRDefault="006A13FF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07B5C"/>
    <w:multiLevelType w:val="hybridMultilevel"/>
    <w:tmpl w:val="B04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65366"/>
    <w:multiLevelType w:val="hybridMultilevel"/>
    <w:tmpl w:val="78B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22B5"/>
    <w:multiLevelType w:val="hybridMultilevel"/>
    <w:tmpl w:val="5A24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DF16C3"/>
    <w:multiLevelType w:val="hybridMultilevel"/>
    <w:tmpl w:val="FDB25B84"/>
    <w:lvl w:ilvl="0" w:tplc="A1C233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53C271E4"/>
    <w:multiLevelType w:val="hybridMultilevel"/>
    <w:tmpl w:val="F12EF35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24F94"/>
    <w:multiLevelType w:val="hybridMultilevel"/>
    <w:tmpl w:val="6A46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A193B"/>
    <w:multiLevelType w:val="hybridMultilevel"/>
    <w:tmpl w:val="27E61CE6"/>
    <w:lvl w:ilvl="0" w:tplc="A1C233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2"/>
  </w:num>
  <w:num w:numId="5">
    <w:abstractNumId w:val="23"/>
  </w:num>
  <w:num w:numId="6">
    <w:abstractNumId w:val="8"/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9"/>
  </w:num>
  <w:num w:numId="12">
    <w:abstractNumId w:val="19"/>
  </w:num>
  <w:num w:numId="13">
    <w:abstractNumId w:val="7"/>
  </w:num>
  <w:num w:numId="14">
    <w:abstractNumId w:val="10"/>
  </w:num>
  <w:num w:numId="15">
    <w:abstractNumId w:val="25"/>
  </w:num>
  <w:num w:numId="16">
    <w:abstractNumId w:val="21"/>
  </w:num>
  <w:num w:numId="17">
    <w:abstractNumId w:val="0"/>
  </w:num>
  <w:num w:numId="18">
    <w:abstractNumId w:val="12"/>
  </w:num>
  <w:num w:numId="19">
    <w:abstractNumId w:val="27"/>
  </w:num>
  <w:num w:numId="20">
    <w:abstractNumId w:val="14"/>
  </w:num>
  <w:num w:numId="21">
    <w:abstractNumId w:val="22"/>
  </w:num>
  <w:num w:numId="22">
    <w:abstractNumId w:val="13"/>
  </w:num>
  <w:num w:numId="23">
    <w:abstractNumId w:val="18"/>
  </w:num>
  <w:num w:numId="24">
    <w:abstractNumId w:val="20"/>
  </w:num>
  <w:num w:numId="25">
    <w:abstractNumId w:val="26"/>
  </w:num>
  <w:num w:numId="26">
    <w:abstractNumId w:val="3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67F"/>
    <w:rsid w:val="00080C8B"/>
    <w:rsid w:val="00091870"/>
    <w:rsid w:val="000A1CD1"/>
    <w:rsid w:val="000A2089"/>
    <w:rsid w:val="000B38C3"/>
    <w:rsid w:val="000C65CA"/>
    <w:rsid w:val="000D26FF"/>
    <w:rsid w:val="000D68D5"/>
    <w:rsid w:val="000E3849"/>
    <w:rsid w:val="000E6D79"/>
    <w:rsid w:val="00123A63"/>
    <w:rsid w:val="00130405"/>
    <w:rsid w:val="001440AD"/>
    <w:rsid w:val="0017490F"/>
    <w:rsid w:val="001873C3"/>
    <w:rsid w:val="00191703"/>
    <w:rsid w:val="001934E5"/>
    <w:rsid w:val="001B1B01"/>
    <w:rsid w:val="001D61E5"/>
    <w:rsid w:val="001D6A40"/>
    <w:rsid w:val="001F3FE8"/>
    <w:rsid w:val="00202F1C"/>
    <w:rsid w:val="00220749"/>
    <w:rsid w:val="002257A4"/>
    <w:rsid w:val="00225B33"/>
    <w:rsid w:val="00227F3F"/>
    <w:rsid w:val="00236DF7"/>
    <w:rsid w:val="00237F32"/>
    <w:rsid w:val="0024483B"/>
    <w:rsid w:val="00273490"/>
    <w:rsid w:val="002809D0"/>
    <w:rsid w:val="00280D3D"/>
    <w:rsid w:val="00286545"/>
    <w:rsid w:val="002902DC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60370"/>
    <w:rsid w:val="003758DD"/>
    <w:rsid w:val="00377B60"/>
    <w:rsid w:val="00386AF1"/>
    <w:rsid w:val="00387552"/>
    <w:rsid w:val="00391FEC"/>
    <w:rsid w:val="003941C6"/>
    <w:rsid w:val="00397097"/>
    <w:rsid w:val="003C0AEC"/>
    <w:rsid w:val="003C10B5"/>
    <w:rsid w:val="003C5712"/>
    <w:rsid w:val="003D1987"/>
    <w:rsid w:val="003D5657"/>
    <w:rsid w:val="003D6F89"/>
    <w:rsid w:val="003F166A"/>
    <w:rsid w:val="004060A0"/>
    <w:rsid w:val="004062E2"/>
    <w:rsid w:val="00427A0E"/>
    <w:rsid w:val="00431414"/>
    <w:rsid w:val="00435CCA"/>
    <w:rsid w:val="00436673"/>
    <w:rsid w:val="00447085"/>
    <w:rsid w:val="00464785"/>
    <w:rsid w:val="00465F00"/>
    <w:rsid w:val="004669B5"/>
    <w:rsid w:val="0049036B"/>
    <w:rsid w:val="004A082C"/>
    <w:rsid w:val="004A3652"/>
    <w:rsid w:val="004C56F8"/>
    <w:rsid w:val="005135DD"/>
    <w:rsid w:val="0052108B"/>
    <w:rsid w:val="005215A9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0A74"/>
    <w:rsid w:val="0066589B"/>
    <w:rsid w:val="006816B5"/>
    <w:rsid w:val="0068667E"/>
    <w:rsid w:val="0069732D"/>
    <w:rsid w:val="006A13FF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0FD8"/>
    <w:rsid w:val="007C6486"/>
    <w:rsid w:val="007D217B"/>
    <w:rsid w:val="007D239D"/>
    <w:rsid w:val="007F0ABC"/>
    <w:rsid w:val="007F42F7"/>
    <w:rsid w:val="007F5F6E"/>
    <w:rsid w:val="0081658E"/>
    <w:rsid w:val="00834CEF"/>
    <w:rsid w:val="00841387"/>
    <w:rsid w:val="00867DE4"/>
    <w:rsid w:val="008A33B7"/>
    <w:rsid w:val="008A414C"/>
    <w:rsid w:val="008B5011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682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77907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9149B"/>
    <w:rsid w:val="00BA176E"/>
    <w:rsid w:val="00BC21CE"/>
    <w:rsid w:val="00BC3AD0"/>
    <w:rsid w:val="00BC431F"/>
    <w:rsid w:val="00BC67F5"/>
    <w:rsid w:val="00BE03D1"/>
    <w:rsid w:val="00BE1445"/>
    <w:rsid w:val="00BE6B02"/>
    <w:rsid w:val="00BF1D9F"/>
    <w:rsid w:val="00BF3A23"/>
    <w:rsid w:val="00C10849"/>
    <w:rsid w:val="00C1319F"/>
    <w:rsid w:val="00C56A89"/>
    <w:rsid w:val="00C61146"/>
    <w:rsid w:val="00C61CF2"/>
    <w:rsid w:val="00C64E29"/>
    <w:rsid w:val="00C66601"/>
    <w:rsid w:val="00C81A66"/>
    <w:rsid w:val="00C84488"/>
    <w:rsid w:val="00C847BD"/>
    <w:rsid w:val="00CA09F8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46947"/>
    <w:rsid w:val="00D544E0"/>
    <w:rsid w:val="00D55AC9"/>
    <w:rsid w:val="00D5798D"/>
    <w:rsid w:val="00D6062E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22971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B46"/>
    <w:rsid w:val="00EA2C0C"/>
    <w:rsid w:val="00EA2C47"/>
    <w:rsid w:val="00EB0FEF"/>
    <w:rsid w:val="00EB2509"/>
    <w:rsid w:val="00EC638E"/>
    <w:rsid w:val="00EE34D6"/>
    <w:rsid w:val="00EE4758"/>
    <w:rsid w:val="00EF1193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70416"/>
    <w:rsid w:val="00F737C4"/>
    <w:rsid w:val="00FA4B21"/>
    <w:rsid w:val="00FB3D7C"/>
    <w:rsid w:val="00FC2049"/>
    <w:rsid w:val="00FD5779"/>
    <w:rsid w:val="00FE24A1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nuals.sp.chfs.ky.gov/chapter4/10/Pages/411PrivateChildPlacing(PCP)orChildCaring(PCC)Agency.aspx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manuals.sp.chfs.ky.gov/Resources/sopFormsLibrary/DPP-106A%20Authorization%20for%20Health%20Care.doc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uals.sp.chfs.ky.gov/Resources/sopFormsLibrary/DPP-114%20Private%20Child%20Caring%20and%20Child%20Placing%20Level%20of%20Care%20Schedule.doc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Jennie.willson@ky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fs.ky.gov/dcbs/dc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30/34/Pages/3019ChildCareAssistance-Introduction.aspx" TargetMode="External"/><Relationship Id="rId14" Type="http://schemas.openxmlformats.org/officeDocument/2006/relationships/hyperlink" Target="https://manuals.sp.chfs.ky.gov/chapter4/12/Pages/4262AuthorizationforMedicalServices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1C5AA-781A-481B-A15C-C199B1681413}"/>
</file>

<file path=customXml/itemProps2.xml><?xml version="1.0" encoding="utf-8"?>
<ds:datastoreItem xmlns:ds="http://schemas.openxmlformats.org/officeDocument/2006/customXml" ds:itemID="{01A73222-7959-4D86-826B-20688FF8332E}"/>
</file>

<file path=customXml/itemProps3.xml><?xml version="1.0" encoding="utf-8"?>
<ds:datastoreItem xmlns:ds="http://schemas.openxmlformats.org/officeDocument/2006/customXml" ds:itemID="{7301EA9F-5A1D-4DDD-A084-E3F7AFA077E8}"/>
</file>

<file path=customXml/itemProps4.xml><?xml version="1.0" encoding="utf-8"?>
<ds:datastoreItem xmlns:ds="http://schemas.openxmlformats.org/officeDocument/2006/customXml" ds:itemID="{3AF17906-38D1-4236-9F21-75E02B4D6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387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14-11 Emergency Regulatory Changes (child care assistance program and PCC per diem rates)</dc:title>
  <dc:creator>Beth.Holbrook</dc:creator>
  <cp:lastModifiedBy>sarah.cooper</cp:lastModifiedBy>
  <cp:revision>6</cp:revision>
  <cp:lastPrinted>2014-07-01T18:19:00Z</cp:lastPrinted>
  <dcterms:created xsi:type="dcterms:W3CDTF">2014-07-30T18:23:00Z</dcterms:created>
  <dcterms:modified xsi:type="dcterms:W3CDTF">2014-08-06T17:03:00Z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